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B6" w:rsidRDefault="003762B6">
      <w:pPr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3762B6" w:rsidRDefault="00460634">
      <w:pPr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ИЗВЕЩЕНИЕ</w:t>
      </w:r>
    </w:p>
    <w:p w:rsidR="003762B6" w:rsidRPr="00810D01" w:rsidRDefault="00460634">
      <w:pPr>
        <w:pStyle w:val="1"/>
        <w:ind w:right="91"/>
        <w:rPr>
          <w:rFonts w:ascii="Times New Roman" w:hAnsi="Times New Roman"/>
          <w:szCs w:val="22"/>
          <w:lang w:val="ru-RU"/>
        </w:rPr>
      </w:pPr>
      <w:r w:rsidRPr="00810D01">
        <w:rPr>
          <w:rFonts w:ascii="Times New Roman" w:hAnsi="Times New Roman"/>
          <w:bCs w:val="0"/>
          <w:szCs w:val="22"/>
          <w:lang w:val="ru-RU"/>
        </w:rPr>
        <w:t xml:space="preserve">о проведении </w:t>
      </w:r>
      <w:r>
        <w:rPr>
          <w:rFonts w:ascii="Times New Roman" w:hAnsi="Times New Roman"/>
          <w:bCs w:val="0"/>
          <w:szCs w:val="22"/>
          <w:lang w:val="ru-RU"/>
        </w:rPr>
        <w:t xml:space="preserve">электронного </w:t>
      </w:r>
      <w:r w:rsidRPr="00810D01">
        <w:rPr>
          <w:rFonts w:ascii="Times New Roman" w:hAnsi="Times New Roman"/>
          <w:bCs w:val="0"/>
          <w:szCs w:val="22"/>
          <w:lang w:val="ru-RU"/>
        </w:rPr>
        <w:t xml:space="preserve">аукциона </w:t>
      </w:r>
      <w:r w:rsidRPr="00810D01">
        <w:rPr>
          <w:rFonts w:ascii="Times New Roman" w:hAnsi="Times New Roman"/>
          <w:szCs w:val="22"/>
          <w:lang w:val="ru-RU"/>
        </w:rPr>
        <w:t xml:space="preserve">по продаже права на заключение договора аренды (годовая арендная плата) сроком на </w:t>
      </w:r>
      <w:r>
        <w:rPr>
          <w:rFonts w:ascii="Times New Roman" w:hAnsi="Times New Roman"/>
          <w:szCs w:val="22"/>
          <w:lang w:val="ru-RU"/>
        </w:rPr>
        <w:t>5</w:t>
      </w:r>
      <w:r w:rsidRPr="00810D01">
        <w:rPr>
          <w:rFonts w:ascii="Times New Roman" w:hAnsi="Times New Roman"/>
          <w:szCs w:val="22"/>
          <w:lang w:val="ru-RU"/>
        </w:rPr>
        <w:t xml:space="preserve"> (</w:t>
      </w:r>
      <w:r>
        <w:rPr>
          <w:rFonts w:ascii="Times New Roman" w:hAnsi="Times New Roman"/>
          <w:szCs w:val="22"/>
          <w:lang w:val="ru-RU"/>
        </w:rPr>
        <w:t>пять</w:t>
      </w:r>
      <w:r w:rsidRPr="00810D01">
        <w:rPr>
          <w:rFonts w:ascii="Times New Roman" w:hAnsi="Times New Roman"/>
          <w:szCs w:val="22"/>
          <w:lang w:val="ru-RU"/>
        </w:rPr>
        <w:t xml:space="preserve">) </w:t>
      </w:r>
      <w:r>
        <w:rPr>
          <w:rFonts w:ascii="Times New Roman" w:hAnsi="Times New Roman"/>
          <w:szCs w:val="22"/>
          <w:lang w:val="ru-RU"/>
        </w:rPr>
        <w:t>лет</w:t>
      </w:r>
      <w:r w:rsidRPr="00810D01">
        <w:rPr>
          <w:rFonts w:ascii="Times New Roman" w:hAnsi="Times New Roman"/>
          <w:szCs w:val="22"/>
          <w:lang w:val="ru-RU"/>
        </w:rPr>
        <w:t xml:space="preserve"> земельн</w:t>
      </w:r>
      <w:r>
        <w:rPr>
          <w:rFonts w:ascii="Times New Roman" w:hAnsi="Times New Roman"/>
          <w:szCs w:val="22"/>
          <w:lang w:val="ru-RU"/>
        </w:rPr>
        <w:t>ого</w:t>
      </w:r>
      <w:r w:rsidRPr="00810D01">
        <w:rPr>
          <w:rFonts w:ascii="Times New Roman" w:hAnsi="Times New Roman"/>
          <w:szCs w:val="22"/>
          <w:lang w:val="ru-RU"/>
        </w:rPr>
        <w:t xml:space="preserve"> участк</w:t>
      </w:r>
      <w:r>
        <w:rPr>
          <w:rFonts w:ascii="Times New Roman" w:hAnsi="Times New Roman"/>
          <w:szCs w:val="22"/>
          <w:lang w:val="ru-RU"/>
        </w:rPr>
        <w:t>а</w:t>
      </w:r>
      <w:r w:rsidRPr="00810D01">
        <w:rPr>
          <w:szCs w:val="22"/>
          <w:lang w:val="ru-RU"/>
        </w:rPr>
        <w:t>,</w:t>
      </w:r>
      <w:r w:rsidR="00810D01">
        <w:rPr>
          <w:szCs w:val="22"/>
          <w:lang w:val="ru-RU"/>
        </w:rPr>
        <w:t xml:space="preserve"> </w:t>
      </w:r>
      <w:r w:rsidRPr="00810D01">
        <w:rPr>
          <w:rFonts w:ascii="Times New Roman" w:hAnsi="Times New Roman"/>
          <w:szCs w:val="22"/>
          <w:lang w:val="ru-RU"/>
        </w:rPr>
        <w:t>расположенного по адресу:</w:t>
      </w:r>
    </w:p>
    <w:p w:rsidR="003762B6" w:rsidRDefault="00460634">
      <w:pPr>
        <w:pStyle w:val="1"/>
        <w:ind w:right="91"/>
        <w:rPr>
          <w:rFonts w:ascii="Times New Roman" w:hAnsi="Times New Roman"/>
          <w:szCs w:val="22"/>
          <w:lang w:val="ru-RU"/>
        </w:rPr>
      </w:pPr>
      <w:r>
        <w:rPr>
          <w:rFonts w:ascii="Times New Roman" w:hAnsi="Times New Roman"/>
          <w:szCs w:val="22"/>
          <w:lang w:val="ru-RU"/>
        </w:rPr>
        <w:t>Костромская область, Шарьинский р-н., г. Шарья, ул. Ветлужская, д. 41</w:t>
      </w:r>
    </w:p>
    <w:p w:rsidR="003762B6" w:rsidRDefault="003762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3762B6" w:rsidRDefault="004606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Комитет по управлению муниципальным имуществом администрации городского округа город Шарья Костромской области настоящим сообщает о проведении торгов в форме электронного аукциона по продаже права на заключение договора аренды (годовая арендная плата) сроком на5 (пять) лет земельного участка:</w:t>
      </w:r>
    </w:p>
    <w:tbl>
      <w:tblPr>
        <w:tblW w:w="114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559"/>
        <w:gridCol w:w="1560"/>
        <w:gridCol w:w="850"/>
        <w:gridCol w:w="992"/>
        <w:gridCol w:w="2127"/>
        <w:gridCol w:w="567"/>
        <w:gridCol w:w="3402"/>
      </w:tblGrid>
      <w:tr w:rsidR="003762B6" w:rsidTr="00810D01">
        <w:trPr>
          <w:trHeight w:val="675"/>
        </w:trPr>
        <w:tc>
          <w:tcPr>
            <w:tcW w:w="426" w:type="dxa"/>
            <w:noWrap/>
          </w:tcPr>
          <w:p w:rsidR="003762B6" w:rsidRDefault="004606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лота</w:t>
            </w:r>
          </w:p>
        </w:tc>
        <w:tc>
          <w:tcPr>
            <w:tcW w:w="1559" w:type="dxa"/>
            <w:noWrap/>
          </w:tcPr>
          <w:p w:rsidR="003762B6" w:rsidRDefault="004606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Место расположения </w:t>
            </w:r>
          </w:p>
        </w:tc>
        <w:tc>
          <w:tcPr>
            <w:tcW w:w="1560" w:type="dxa"/>
            <w:noWrap/>
          </w:tcPr>
          <w:p w:rsidR="003762B6" w:rsidRDefault="00460634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Кадастровый </w:t>
            </w:r>
          </w:p>
          <w:p w:rsidR="003762B6" w:rsidRDefault="00460634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номер</w:t>
            </w:r>
          </w:p>
        </w:tc>
        <w:tc>
          <w:tcPr>
            <w:tcW w:w="850" w:type="dxa"/>
            <w:noWrap/>
          </w:tcPr>
          <w:p w:rsidR="003762B6" w:rsidRDefault="004606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Площадь, кв.м.</w:t>
            </w:r>
          </w:p>
        </w:tc>
        <w:tc>
          <w:tcPr>
            <w:tcW w:w="992" w:type="dxa"/>
            <w:noWrap/>
          </w:tcPr>
          <w:p w:rsidR="003762B6" w:rsidRDefault="004606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земель</w:t>
            </w:r>
          </w:p>
        </w:tc>
        <w:tc>
          <w:tcPr>
            <w:tcW w:w="2127" w:type="dxa"/>
            <w:noWrap/>
          </w:tcPr>
          <w:p w:rsidR="003762B6" w:rsidRDefault="004606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Разрешенное использование</w:t>
            </w:r>
          </w:p>
        </w:tc>
        <w:tc>
          <w:tcPr>
            <w:tcW w:w="567" w:type="dxa"/>
            <w:noWrap/>
          </w:tcPr>
          <w:p w:rsidR="003762B6" w:rsidRDefault="004606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Срок аренды</w:t>
            </w:r>
          </w:p>
        </w:tc>
        <w:tc>
          <w:tcPr>
            <w:tcW w:w="3402" w:type="dxa"/>
            <w:noWrap/>
          </w:tcPr>
          <w:p w:rsidR="003762B6" w:rsidRDefault="0046063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Права и ограничения</w:t>
            </w:r>
          </w:p>
        </w:tc>
      </w:tr>
      <w:tr w:rsidR="003762B6" w:rsidTr="00810D01">
        <w:trPr>
          <w:trHeight w:val="709"/>
        </w:trPr>
        <w:tc>
          <w:tcPr>
            <w:tcW w:w="426" w:type="dxa"/>
            <w:noWrap/>
            <w:vAlign w:val="center"/>
          </w:tcPr>
          <w:p w:rsidR="003762B6" w:rsidRDefault="0046063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 w:rsidR="00810D01" w:rsidRDefault="00460634" w:rsidP="00810D01">
            <w:pPr>
              <w:pStyle w:val="1"/>
              <w:ind w:right="91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Костромская область, Шарьинский р-н., г. Шарья,</w:t>
            </w:r>
          </w:p>
          <w:p w:rsidR="003762B6" w:rsidRDefault="00460634" w:rsidP="00810D01">
            <w:pPr>
              <w:pStyle w:val="1"/>
              <w:ind w:right="91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ул. Ветлужская, д. 41</w:t>
            </w:r>
          </w:p>
        </w:tc>
        <w:tc>
          <w:tcPr>
            <w:tcW w:w="1560" w:type="dxa"/>
            <w:noWrap/>
            <w:vAlign w:val="center"/>
          </w:tcPr>
          <w:p w:rsidR="003762B6" w:rsidRDefault="00460634">
            <w:pPr>
              <w:ind w:firstLine="32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44:31:030805: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36</w:t>
            </w:r>
          </w:p>
        </w:tc>
        <w:tc>
          <w:tcPr>
            <w:tcW w:w="850" w:type="dxa"/>
            <w:noWrap/>
            <w:vAlign w:val="center"/>
          </w:tcPr>
          <w:p w:rsidR="003762B6" w:rsidRDefault="004606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16567,0</w:t>
            </w:r>
          </w:p>
        </w:tc>
        <w:tc>
          <w:tcPr>
            <w:tcW w:w="992" w:type="dxa"/>
            <w:noWrap/>
            <w:vAlign w:val="center"/>
          </w:tcPr>
          <w:p w:rsidR="003762B6" w:rsidRDefault="0046063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127" w:type="dxa"/>
            <w:noWrap/>
            <w:vAlign w:val="center"/>
          </w:tcPr>
          <w:p w:rsidR="003762B6" w:rsidRDefault="004606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Строительная промышленность </w:t>
            </w:r>
          </w:p>
          <w:p w:rsidR="003762B6" w:rsidRDefault="00460634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зоне П-1 утверждены основные виды разрешенного использования: производственная деятельность, связь, склад, целлюлозно-бумажная промышленность, деловое управление, обеспечение деятельности в области гидрометеорологии и смежных с ней областях, коммунальное обслуживание, автомобильный транспорт, служебные гаражи, хранение автотранспорта, амбулаторное ветеринарное обслуживание, обеспечение внутреннего правопорядка, трубопроводный транспорт, энергетика, объекты дорожного сервиса, легкая промышленность, научно-производственная деятельность))</w:t>
            </w:r>
          </w:p>
          <w:p w:rsidR="003762B6" w:rsidRDefault="003762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vAlign w:val="center"/>
          </w:tcPr>
          <w:p w:rsidR="003762B6" w:rsidRDefault="004606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лет</w:t>
            </w:r>
          </w:p>
        </w:tc>
        <w:tc>
          <w:tcPr>
            <w:tcW w:w="3402" w:type="dxa"/>
            <w:noWrap/>
            <w:vAlign w:val="center"/>
          </w:tcPr>
          <w:p w:rsidR="003762B6" w:rsidRDefault="00460634">
            <w:pPr>
              <w:pStyle w:val="Heading1"/>
              <w:tabs>
                <w:tab w:val="left" w:pos="0"/>
                <w:tab w:val="left" w:pos="5790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Ограничения и обременения: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-вид ограничения (обременения): прочие ограничения прав и обременения объекта недвижимости; Содержание ограничения (обременения): Охранная зона ЛЭП;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- вид ограничения (обременения): прочие ограничения прав и обременения объекта недвижимости; Содержание ограничения (обременения): Проезд-проход;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-земельный участок расположен в границах зоны с реестровым номером 44:00-6.431; Вид объекта реестра границ: Зона с особыми условиями использования территории; Вид зоны по документу: Зона с особыми условиями использования территории ВЛ-6кВ Ф6 от п/ст Шарья-Тяговая (ВЛ-6 кВ Ф.6 (В) ПС-Шарья (Тяговая)), расположенная на территории Костромской области; Тип зоны: Охранная зона инженерных коммуникаций;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- земельный участок расположен в границах зоны с реестровым номером 44:31-6.266; Вид объекта реестра границ: Зона с особыми условиями использования территории; Вид зоны по документу: Охранная зона объектов электросетевого хозяйства – КТП-6кВ № 209 Этус ф.6 ПС Тяговая (КТП-6кВ № 209 Этус ф.6 ПС Тягов (вед.лин); Тип зоны: Охранная зона инженерных коммуникаций;</w:t>
            </w:r>
          </w:p>
        </w:tc>
      </w:tr>
    </w:tbl>
    <w:p w:rsidR="003762B6" w:rsidRDefault="003762B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z w:val="22"/>
          <w:szCs w:val="22"/>
        </w:rPr>
        <w:sectPr w:rsidR="003762B6">
          <w:headerReference w:type="default" r:id="rId7"/>
          <w:pgSz w:w="11906" w:h="16838"/>
          <w:pgMar w:top="992" w:right="567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20"/>
        <w:tblW w:w="10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7102"/>
      </w:tblGrid>
      <w:tr w:rsidR="003762B6" w:rsidTr="00810D01">
        <w:trPr>
          <w:trHeight w:val="332"/>
        </w:trPr>
        <w:tc>
          <w:tcPr>
            <w:tcW w:w="3227" w:type="dxa"/>
            <w:noWrap/>
          </w:tcPr>
          <w:p w:rsidR="003762B6" w:rsidRDefault="0046063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Начальный размер годовой арендной платы, руб.</w:t>
            </w:r>
          </w:p>
        </w:tc>
        <w:tc>
          <w:tcPr>
            <w:tcW w:w="7102" w:type="dxa"/>
            <w:noWrap/>
          </w:tcPr>
          <w:p w:rsidR="003762B6" w:rsidRDefault="00460634">
            <w:pPr>
              <w:ind w:right="7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417 278,0</w:t>
            </w:r>
          </w:p>
        </w:tc>
      </w:tr>
      <w:tr w:rsidR="003762B6" w:rsidTr="00810D01">
        <w:trPr>
          <w:trHeight w:val="429"/>
        </w:trPr>
        <w:tc>
          <w:tcPr>
            <w:tcW w:w="3227" w:type="dxa"/>
            <w:noWrap/>
          </w:tcPr>
          <w:p w:rsidR="003762B6" w:rsidRDefault="0046063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Размер задатка, руб. (20% от начальной цены)</w:t>
            </w:r>
          </w:p>
        </w:tc>
        <w:tc>
          <w:tcPr>
            <w:tcW w:w="7102" w:type="dxa"/>
            <w:noWrap/>
          </w:tcPr>
          <w:p w:rsidR="003762B6" w:rsidRDefault="004606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83 455,60</w:t>
            </w:r>
          </w:p>
        </w:tc>
      </w:tr>
      <w:tr w:rsidR="003762B6" w:rsidTr="00810D01">
        <w:trPr>
          <w:trHeight w:val="310"/>
        </w:trPr>
        <w:tc>
          <w:tcPr>
            <w:tcW w:w="3227" w:type="dxa"/>
            <w:noWrap/>
          </w:tcPr>
          <w:p w:rsidR="003762B6" w:rsidRDefault="0046063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Шаг аукциона, руб. (3% от начальной цены)</w:t>
            </w:r>
          </w:p>
        </w:tc>
        <w:tc>
          <w:tcPr>
            <w:tcW w:w="7102" w:type="dxa"/>
            <w:noWrap/>
          </w:tcPr>
          <w:p w:rsidR="003762B6" w:rsidRDefault="004606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12 518,34</w:t>
            </w:r>
          </w:p>
        </w:tc>
      </w:tr>
      <w:tr w:rsidR="003762B6" w:rsidTr="00810D01">
        <w:trPr>
          <w:trHeight w:val="1534"/>
        </w:trPr>
        <w:tc>
          <w:tcPr>
            <w:tcW w:w="3227" w:type="dxa"/>
            <w:noWrap/>
          </w:tcPr>
          <w:p w:rsidR="003762B6" w:rsidRDefault="0046063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условия подключения (технологического присоединения)</w:t>
            </w:r>
          </w:p>
        </w:tc>
        <w:tc>
          <w:tcPr>
            <w:tcW w:w="7102" w:type="dxa"/>
            <w:noWrap/>
          </w:tcPr>
          <w:p w:rsidR="003762B6" w:rsidRDefault="004606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Канализация – </w:t>
            </w:r>
            <w:r>
              <w:rPr>
                <w:rFonts w:ascii="Times New Roman" w:hAnsi="Times New Roman"/>
                <w:sz w:val="22"/>
                <w:szCs w:val="22"/>
              </w:rPr>
              <w:t>отсутствует техническая возможность подключения объекта к централизованной системе водоотведения;</w:t>
            </w:r>
          </w:p>
          <w:p w:rsidR="003762B6" w:rsidRDefault="004606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Водоснабжение</w:t>
            </w:r>
            <w:r>
              <w:rPr>
                <w:rFonts w:ascii="Times New Roman" w:hAnsi="Times New Roman"/>
                <w:sz w:val="22"/>
                <w:szCs w:val="22"/>
              </w:rPr>
              <w:t>– отсутствует техническая возможность подключения объекта к централизованной системе холодного водоснабжения;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Теплоснабжение </w:t>
            </w:r>
            <w:r>
              <w:rPr>
                <w:rFonts w:ascii="Times New Roman" w:hAnsi="Times New Roman"/>
                <w:sz w:val="22"/>
                <w:szCs w:val="22"/>
              </w:rPr>
              <w:t>–  отсутствует техническая возможность подключения земельного участка к тепловым сетям, вследствие отсутствия тепловых сетей и свободной мощности в соответствующей точке подключения, обеспечивающих передачу необходимого объема ресурса;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Электроснабжени</w:t>
            </w:r>
            <w:r>
              <w:rPr>
                <w:rFonts w:ascii="Times New Roman" w:hAnsi="Times New Roman"/>
                <w:sz w:val="22"/>
                <w:szCs w:val="22"/>
              </w:rPr>
              <w:t>е - возможность технологического присоединения, в том числе с учётом текущей предельной свободной мощности существующих сетей на данном земельном участке к электрическим сетям филиала ПАО «Россети Центр» - «Костромаэнерго» имеется; срок действия технических условий  не может составлять менее 2 лет и более 5 лет, срок действия определяется для каждого объекта индивидуально и указывается в технических условиях к договору технологического присоединения; в случае подачи заявки на технолог. присоединение в течении 2024 года размер платы будет определяться в соответствии с постановлением Департамента государственного регулирования цен и тарифов Костромской области от 05.12.2023 г. № 23/377;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Газоснабжение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– имеется техническая возможность транспортировки природного газа в объеме 5,0 м3/ч необходимом для газоснабжения земельного участка с видом разрешенного использования в точке подключения сети газопотребления объекта капитального строительства.</w:t>
            </w:r>
          </w:p>
        </w:tc>
      </w:tr>
      <w:tr w:rsidR="003762B6" w:rsidTr="00810D01">
        <w:trPr>
          <w:trHeight w:val="809"/>
        </w:trPr>
        <w:tc>
          <w:tcPr>
            <w:tcW w:w="3227" w:type="dxa"/>
            <w:noWrap/>
          </w:tcPr>
          <w:p w:rsidR="003762B6" w:rsidRDefault="0046063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Допустимые параметры разрешенного строительства</w:t>
            </w:r>
          </w:p>
        </w:tc>
        <w:tc>
          <w:tcPr>
            <w:tcW w:w="7102" w:type="dxa"/>
            <w:noWrap/>
          </w:tcPr>
          <w:p w:rsidR="003762B6" w:rsidRDefault="00460634">
            <w:pPr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Зона производственно-коммунальных объектов (П-1):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1) </w:t>
            </w:r>
            <w:r>
              <w:rPr>
                <w:rFonts w:ascii="Times New Roman" w:hAnsi="Times New Roman"/>
                <w:sz w:val="22"/>
                <w:szCs w:val="22"/>
              </w:rPr>
              <w:t>максимальный размер земельного участка - 25 га;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2) минимальный отступ от границ земельного участка - 3 м;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3) предельное количество этажей - 3 этажей;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4) максимальный процент застройки - 60 процентов.</w:t>
            </w:r>
          </w:p>
        </w:tc>
      </w:tr>
    </w:tbl>
    <w:p w:rsidR="003762B6" w:rsidRDefault="003762B6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3762B6" w:rsidRDefault="00460634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Общие сведения</w:t>
      </w:r>
    </w:p>
    <w:p w:rsidR="003762B6" w:rsidRDefault="003762B6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263" w:type="dxa"/>
        <w:jc w:val="center"/>
        <w:tblInd w:w="3193" w:type="dxa"/>
        <w:tblLayout w:type="fixed"/>
        <w:tblLook w:val="00A0"/>
      </w:tblPr>
      <w:tblGrid>
        <w:gridCol w:w="455"/>
        <w:gridCol w:w="2518"/>
        <w:gridCol w:w="7290"/>
      </w:tblGrid>
      <w:tr w:rsidR="003762B6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  <w:bookmarkStart w:id="0" w:name="_ПРИЛОЖЕНИЕ_1_(Извещение)"/>
            <w:bookmarkStart w:id="1" w:name="_ПРИЛОЖЕНИЕ_2_(Проект"/>
            <w:bookmarkEnd w:id="0"/>
            <w:bookmarkEnd w:id="1"/>
            <w:r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>№ п/п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>Наименование</w:t>
            </w:r>
          </w:p>
          <w:p w:rsidR="003762B6" w:rsidRDefault="00460634">
            <w:pPr>
              <w:tabs>
                <w:tab w:val="right" w:pos="459"/>
              </w:tabs>
              <w:jc w:val="center"/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 xml:space="preserve">пункта 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460634">
            <w:pPr>
              <w:ind w:right="-2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Текст пояснений</w:t>
            </w:r>
          </w:p>
        </w:tc>
      </w:tr>
      <w:tr w:rsidR="003762B6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810D0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Наименование Организатора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аукциона</w:t>
            </w:r>
            <w:r w:rsidRPr="00810D0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, контактная информация 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Комитет по управлению муниципальным имуществом администрации городского округа город Шарья Костромской области. 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Место нахождения: 157500, Костромская область, город Шарья, 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ул. Квартал Коммуны, дом № 1, каб. № 8.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Контактный телефон: 8 (49449) 5-89-23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Факс: 8 (49449) 5-89-71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Контактное лицо: </w:t>
            </w:r>
            <w:r w:rsidR="00810D01">
              <w:rPr>
                <w:rFonts w:ascii="Times New Roman" w:hAnsi="Times New Roman"/>
                <w:sz w:val="22"/>
                <w:szCs w:val="22"/>
              </w:rPr>
              <w:t>Баскакова Ирина Николаевна</w:t>
            </w:r>
          </w:p>
          <w:p w:rsidR="003762B6" w:rsidRDefault="004606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Адрес электронной почты: </w:t>
            </w:r>
            <w:r w:rsidR="00810D01" w:rsidRPr="004A4BE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kumi-zem@sharya.kostroma.gov.ru</w:t>
            </w:r>
          </w:p>
        </w:tc>
      </w:tr>
      <w:tr w:rsidR="003762B6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ind w:right="-141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Основания для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4606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аукциона осуществляется в порядке, установленном статьями 39.11, 39.12, 39.13 Земельного кодекса Российской Федерации и на основании Решения комитета по управлению муниципальным имуществом администрации городского округа город Шарья Костромской области от 17.04.2024 года  № 102 «О проведении электронного аукциона по продаже права на заключение договора аренды (годовая арендная плата) сроком на 5 (пять) лет земельного участка, расположенного по адресу: Костромская область, Шарьинский р-н, г. Шарья, ул. Ветлужская, д. 41».</w:t>
            </w:r>
          </w:p>
        </w:tc>
      </w:tr>
      <w:tr w:rsidR="003762B6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Место, время, и дата проведения электронного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810D01">
            <w:pPr>
              <w:tabs>
                <w:tab w:val="left" w:pos="1030"/>
              </w:tabs>
              <w:ind w:right="6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02 августа</w:t>
            </w:r>
            <w:r w:rsidR="00460634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2024 года в 10 часов 00 минут по местному времени</w:t>
            </w:r>
          </w:p>
          <w:p w:rsidR="003762B6" w:rsidRDefault="00460634">
            <w:pPr>
              <w:tabs>
                <w:tab w:val="left" w:pos="1030"/>
              </w:tabs>
              <w:ind w:right="61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</w:rPr>
              <w:t>Э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  <w:highlight w:val="white"/>
              </w:rPr>
              <w:t xml:space="preserve">лектронная площадка </w:t>
            </w:r>
            <w:r>
              <w:rPr>
                <w:rFonts w:ascii="Times New Roman" w:hAnsi="Times New Roman"/>
              </w:rPr>
              <w:t>АО «Сбербанк-АСТ» (</w:t>
            </w:r>
            <w:hyperlink r:id="rId8" w:tooltip="http://utp.sberbank-ast.ru/" w:history="1">
              <w:r>
                <w:rPr>
                  <w:rStyle w:val="ac"/>
                  <w:rFonts w:ascii="Times New Roman" w:hAnsi="Times New Roman"/>
                </w:rPr>
                <w:t>http://utp.sberbank-ast.ru/</w:t>
              </w:r>
            </w:hyperlink>
            <w:r>
              <w:rPr>
                <w:rFonts w:ascii="Times New Roman" w:hAnsi="Times New Roman"/>
              </w:rPr>
              <w:t>)</w:t>
            </w:r>
          </w:p>
        </w:tc>
      </w:tr>
      <w:tr w:rsidR="003762B6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Дата начала и окончания срока приема заявок, место подачи заявок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460634">
            <w:pPr>
              <w:tabs>
                <w:tab w:val="left" w:pos="1030"/>
              </w:tabs>
              <w:ind w:right="61"/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Дата начала приема заявок на участие в электронном аукционе: </w:t>
            </w:r>
          </w:p>
          <w:p w:rsidR="003762B6" w:rsidRDefault="00460634">
            <w:pPr>
              <w:tabs>
                <w:tab w:val="left" w:pos="1030"/>
              </w:tabs>
              <w:ind w:right="61"/>
              <w:rPr>
                <w:rFonts w:ascii="Times New Roman" w:hAnsi="Times New Roman"/>
                <w:b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С</w:t>
            </w:r>
            <w:r w:rsidR="00810D01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2</w:t>
            </w:r>
            <w:r w:rsidR="00810D01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7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</w:t>
            </w:r>
            <w:r w:rsidR="00810D01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июня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2024 года 08 часов 00 минут по местному времени.</w:t>
            </w:r>
          </w:p>
          <w:p w:rsidR="003762B6" w:rsidRDefault="00460634">
            <w:pPr>
              <w:tabs>
                <w:tab w:val="left" w:pos="1030"/>
              </w:tabs>
              <w:ind w:right="61"/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Дата окончания срока приема заявок на участие в электронном аукционе: </w:t>
            </w:r>
          </w:p>
          <w:p w:rsidR="003762B6" w:rsidRDefault="00460634">
            <w:pPr>
              <w:tabs>
                <w:tab w:val="left" w:pos="1030"/>
              </w:tabs>
              <w:ind w:right="6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по 2</w:t>
            </w:r>
            <w:r w:rsidR="00810D01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9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</w:t>
            </w:r>
            <w:r w:rsidR="00810D01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>июля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2024 года 17 часов 00 минут по местному времени.</w:t>
            </w:r>
          </w:p>
          <w:p w:rsidR="003762B6" w:rsidRDefault="00460634">
            <w:pPr>
              <w:tabs>
                <w:tab w:val="left" w:pos="1030"/>
              </w:tabs>
              <w:ind w:right="61"/>
              <w:rPr>
                <w:rFonts w:ascii="Times New Roman" w:hAnsi="Times New Roman"/>
                <w:b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</w:rPr>
              <w:t>Э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  <w:highlight w:val="white"/>
              </w:rPr>
              <w:t xml:space="preserve">лектронная площадка </w:t>
            </w:r>
            <w:r>
              <w:rPr>
                <w:rFonts w:ascii="Times New Roman" w:hAnsi="Times New Roman"/>
              </w:rPr>
              <w:t>АО «Сбербанк-АСТ» (</w:t>
            </w:r>
            <w:hyperlink r:id="rId9" w:tooltip="http://utp.sberbank-ast.ru/" w:history="1">
              <w:r>
                <w:rPr>
                  <w:rStyle w:val="ac"/>
                  <w:rFonts w:ascii="Times New Roman" w:hAnsi="Times New Roman"/>
                </w:rPr>
                <w:t>http://utp.sberbank-ast.ru/</w:t>
              </w:r>
            </w:hyperlink>
            <w:r>
              <w:rPr>
                <w:rFonts w:ascii="Times New Roman" w:hAnsi="Times New Roman"/>
              </w:rPr>
              <w:t>)</w:t>
            </w:r>
          </w:p>
        </w:tc>
      </w:tr>
      <w:tr w:rsidR="003762B6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Дата и время определения участников электронного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810D01" w:rsidP="00810D01">
            <w:pPr>
              <w:tabs>
                <w:tab w:val="left" w:pos="1030"/>
              </w:tabs>
              <w:ind w:right="61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30</w:t>
            </w:r>
            <w:r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июля</w:t>
            </w:r>
            <w:r w:rsidR="00460634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t xml:space="preserve"> 2024 года в 10 часов 00 минут по местному времени</w:t>
            </w:r>
            <w:r w:rsidR="00460634">
              <w:rPr>
                <w:rFonts w:ascii="Times New Roman" w:hAnsi="Times New Roman"/>
                <w:b/>
                <w:sz w:val="22"/>
                <w:szCs w:val="22"/>
                <w:highlight w:val="white"/>
              </w:rPr>
              <w:br/>
            </w:r>
            <w:r w:rsidR="00460634"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</w:rPr>
              <w:t>Э</w:t>
            </w:r>
            <w:r w:rsidR="00460634"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  <w:highlight w:val="white"/>
              </w:rPr>
              <w:t xml:space="preserve">лектронная площадка </w:t>
            </w:r>
            <w:r w:rsidR="00460634">
              <w:rPr>
                <w:rFonts w:ascii="Times New Roman" w:hAnsi="Times New Roman"/>
              </w:rPr>
              <w:t>АО «Сбербанк-АСТ» (</w:t>
            </w:r>
            <w:hyperlink r:id="rId10" w:tooltip="http://utp.sberbank-ast.ru/" w:history="1">
              <w:r w:rsidR="00460634">
                <w:rPr>
                  <w:rStyle w:val="ac"/>
                  <w:rFonts w:ascii="Times New Roman" w:hAnsi="Times New Roman"/>
                </w:rPr>
                <w:t>http://utp.sberbank-ast.ru/</w:t>
              </w:r>
            </w:hyperlink>
            <w:r w:rsidR="00460634">
              <w:rPr>
                <w:rFonts w:ascii="Times New Roman" w:hAnsi="Times New Roman"/>
              </w:rPr>
              <w:t>)</w:t>
            </w:r>
          </w:p>
        </w:tc>
      </w:tr>
      <w:tr w:rsidR="003762B6">
        <w:trPr>
          <w:trHeight w:val="3285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Порядок приема заявок на участие в электронном аукционе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460634" w:rsidP="00810D01">
            <w:p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</w:t>
            </w:r>
          </w:p>
          <w:p w:rsidR="003762B6" w:rsidRDefault="00460634" w:rsidP="00810D01">
            <w:pPr>
              <w:pStyle w:val="a3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копии документов, удостоверяющих личность заявителя (для граждан)</w:t>
            </w:r>
          </w:p>
          <w:p w:rsidR="003762B6" w:rsidRDefault="00460634" w:rsidP="00810D01">
            <w:pPr>
              <w:pStyle w:val="a3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3762B6" w:rsidRDefault="00460634" w:rsidP="00810D01">
            <w:pPr>
              <w:pStyle w:val="a3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документы, подтверждающие внесение задатка;</w:t>
            </w:r>
          </w:p>
          <w:p w:rsidR="003762B6" w:rsidRDefault="00460634" w:rsidP="00810D0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>Для участия в аукционе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11" w:anchor="dst100346" w:tooltip="https://www.consultant.ru/document/cons_doc_LAW_436375/7705ea248eb2ec0cf267513902ed8f43cc104c97/#dst100346" w:history="1">
              <w:r>
                <w:rPr>
                  <w:rStyle w:val="ac"/>
                  <w:rFonts w:ascii="Times New Roman" w:hAnsi="Times New Roman"/>
                  <w:color w:val="1A0DAB"/>
                  <w:sz w:val="22"/>
                  <w:szCs w:val="22"/>
                </w:rPr>
                <w:t>частью 4 статьи 18</w:t>
              </w:r>
            </w:hyperlink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> Федерального закона от 24 июля 2007 года N 209-ФЗ "О развитии малого и среднего предпринимательства в Российской Федерации", заявители декларируют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      </w:r>
            <w:hyperlink r:id="rId12" w:anchor="dst100339" w:tooltip="https://www.consultant.ru/document/cons_doc_LAW_436375/08b3ecbcdc9a360ad1dc314150a6328886703356/#dst100339" w:history="1">
              <w:r>
                <w:rPr>
                  <w:rStyle w:val="ac"/>
                  <w:rFonts w:ascii="Times New Roman" w:hAnsi="Times New Roman"/>
                  <w:color w:val="1A0DAB"/>
                  <w:sz w:val="22"/>
                  <w:szCs w:val="22"/>
                </w:rPr>
                <w:t>частью 5 статьи 4</w:t>
              </w:r>
            </w:hyperlink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> указанного Федерального закона.</w:t>
            </w:r>
          </w:p>
          <w:p w:rsidR="003762B6" w:rsidRDefault="00460634" w:rsidP="00810D01">
            <w:pPr>
              <w:shd w:val="clear" w:color="auto" w:fill="FFFFFF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      </w:r>
          </w:p>
        </w:tc>
      </w:tr>
      <w:tr w:rsidR="003762B6">
        <w:trPr>
          <w:trHeight w:val="5161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ind w:right="142"/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white"/>
                <w:lang w:eastAsia="en-US"/>
              </w:rPr>
              <w:t>Порядок внесения задатка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Для участия в аукционе претендент вносит установленную сумму задатка.</w:t>
            </w:r>
          </w:p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Задаток вносится оператору электронной площадки по реквизитам: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ПОЛУЧАТ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>ЕЛЬ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Наименование: АО"Сбербанк-АСТ", ИНН:7707308480, КПП:770401001, Расчетный счет: 40702810300020038047, </w:t>
            </w:r>
            <w:r>
              <w:rPr>
                <w:rFonts w:ascii="Times New Roman" w:hAnsi="Times New Roman"/>
                <w:bCs/>
                <w:sz w:val="22"/>
                <w:szCs w:val="22"/>
                <w:highlight w:val="white"/>
              </w:rPr>
              <w:t>БАНК ПОЛУЧАТЕЛЯ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highlight w:val="white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Наименование банка: ПАО "СБЕРБАНК РОССИИ" Г. МОСКВАБИК:044525225, Корреспондентский счет: 3010181040000000000225.</w:t>
            </w:r>
          </w:p>
          <w:p w:rsidR="003762B6" w:rsidRDefault="00460634">
            <w:pPr>
              <w:jc w:val="both"/>
              <w:outlineLv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В назначении платежа необходимо обязательно указать</w:t>
            </w:r>
            <w:r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Перечисление</w:t>
            </w:r>
            <w:r w:rsidR="00810D0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денежных средств в качестве задатка (ИНН плательщика), НДС не облагается.</w:t>
            </w:r>
          </w:p>
          <w:p w:rsidR="003762B6" w:rsidRDefault="00460634">
            <w:pPr>
              <w:jc w:val="both"/>
              <w:outlineLv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Задаток должен поступить не позднее даты рассмотрения заявок на участие в аукционе.</w:t>
            </w:r>
            <w:r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br/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Денежные средства, перечисленные за участника третьим лицом, не зачисляются на счет такого участника на электронной площадке.</w:t>
            </w:r>
          </w:p>
          <w:p w:rsidR="003762B6" w:rsidRDefault="00460634">
            <w:pPr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Документом, подтверждающим поступление задатка претендента, является информация оператора электронной площадки о поступлении задатка.</w:t>
            </w:r>
          </w:p>
          <w:p w:rsidR="003762B6" w:rsidRDefault="00460634">
            <w:pPr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Претенденты, задатки которых не поступили на счет оператора электронной площадки в указанный срок, к участию в аукционе не допускаются. </w:t>
            </w:r>
          </w:p>
          <w:p w:rsidR="00810D01" w:rsidRDefault="00810D01">
            <w:pPr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:rsidR="00810D01" w:rsidRDefault="00810D01">
            <w:pPr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62B6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8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Порядок определения участников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заявок.</w:t>
            </w:r>
          </w:p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Заявитель не допускается к участию в аукционе в следующих случаях:</w:t>
            </w:r>
          </w:p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а) непредставление необходимых для участия в аукционе документов или представление недостоверных сведений; </w:t>
            </w:r>
          </w:p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 не</w:t>
            </w:r>
            <w:r w:rsidR="00810D0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поступление задатка на дату рассмотрения заявок на участие в аукционе;</w:t>
            </w:r>
          </w:p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в) подача заявки на участие в аукционе лицом, которое в соответствии с </w:t>
            </w:r>
          </w:p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Земельным кодексом и другими федеральными законами не имеет права быть участником конкретного аукциона;</w:t>
            </w:r>
          </w:p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 в реестре недобросовестных участников аукциона.</w:t>
            </w:r>
          </w:p>
        </w:tc>
      </w:tr>
      <w:tr w:rsidR="003762B6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Порядок проведения аукциона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460634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Электронный аукцион проводится на электронной площадке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2"/>
                <w:szCs w:val="22"/>
                <w:highlight w:val="white"/>
              </w:rPr>
              <w:t>АО «Сбербанк - АСТ» </w:t>
            </w:r>
            <w:r>
              <w:rPr>
                <w:rFonts w:ascii="Times New Roman" w:hAnsi="Times New Roman"/>
                <w:sz w:val="22"/>
                <w:szCs w:val="22"/>
              </w:rPr>
              <w:t>ее оператором. Допускается взимание оператором электронной площадки с победителя электронного аукциона и иных лиц, с которыми в соответствии с пунктами 13,14,20 и 25 статьи 39.12 настоящего Кодекса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 и размере и на условиях, которые установлены Правительством Российской Федерации в соответствии с законодательством РФ. Участие участнику в процедурах в электронной форме в торговой секции «Приватизация, аренда и продажа прав» предоставляется бесплатно, согласно тарифам, размещенным на электронной площадке  https://utp.sberbank-ast.ru/AP/NBT/Tariff/0/0/0/0.</w:t>
            </w:r>
          </w:p>
          <w:p w:rsidR="003762B6" w:rsidRDefault="00460634">
            <w:pPr>
              <w:widowControl w:val="0"/>
              <w:ind w:right="6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Результаты электронного аукциона оформляются протоколом, который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</w:t>
            </w:r>
          </w:p>
        </w:tc>
      </w:tr>
      <w:tr w:rsidR="003762B6">
        <w:trPr>
          <w:trHeight w:val="2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ind w:left="-50" w:right="-114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762B6" w:rsidRDefault="00460634">
            <w:pPr>
              <w:tabs>
                <w:tab w:val="right" w:pos="459"/>
              </w:tabs>
              <w:ind w:right="142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Порядок заключения договора аренды земельного участка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3762B6" w:rsidRDefault="00460634">
            <w:pPr>
              <w:pStyle w:val="western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результатам проведения электронного аукциона не допускается заключение договора аренды земельного участка, находящегося в государственной или муниципальной собственности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</w:t>
            </w:r>
          </w:p>
          <w:p w:rsidR="003762B6" w:rsidRDefault="00460634">
            <w:pPr>
              <w:pStyle w:val="western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Уполномоченный орган обязан в течение пяти дней со дня истечения срока, указанного ранее, направить победителю электронного аукциона или иным лица, с которыми в соответствии с пунктами 13, 14, 20 и 25 статьи 39.12 настоящего Кодекса заключается договор аренды земельного участка, подписанный проект договора аренды земельного участка.</w:t>
            </w:r>
          </w:p>
          <w:p w:rsidR="003762B6" w:rsidRDefault="00460634">
            <w:pPr>
              <w:pStyle w:val="western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аренды земельного участка,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3762B6" w:rsidRDefault="003762B6">
            <w:pPr>
              <w:ind w:right="61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762B6" w:rsidRDefault="003762B6">
      <w:pPr>
        <w:tabs>
          <w:tab w:val="left" w:pos="9600"/>
          <w:tab w:val="left" w:pos="10440"/>
        </w:tabs>
        <w:ind w:right="-83"/>
        <w:contextualSpacing/>
        <w:rPr>
          <w:rFonts w:ascii="Times New Roman" w:hAnsi="Times New Roman"/>
          <w:sz w:val="22"/>
          <w:szCs w:val="22"/>
        </w:rPr>
      </w:pPr>
    </w:p>
    <w:p w:rsidR="003762B6" w:rsidRDefault="003762B6">
      <w:pPr>
        <w:keepNext/>
        <w:outlineLvl w:val="1"/>
        <w:rPr>
          <w:rFonts w:ascii="Times New Roman" w:hAnsi="Times New Roman"/>
          <w:sz w:val="22"/>
          <w:szCs w:val="22"/>
        </w:rPr>
      </w:pPr>
    </w:p>
    <w:p w:rsidR="003762B6" w:rsidRDefault="00460634">
      <w:pPr>
        <w:keepNext/>
        <w:outlineLvl w:val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Исполняющий полномочия </w:t>
      </w:r>
    </w:p>
    <w:p w:rsidR="003762B6" w:rsidRDefault="00460634">
      <w:pPr>
        <w:keepNext/>
        <w:outlineLvl w:val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главы городского округа город Шарья                                                                      </w:t>
      </w:r>
      <w:r w:rsidR="00810D01">
        <w:rPr>
          <w:rFonts w:ascii="Times New Roman" w:hAnsi="Times New Roman"/>
          <w:sz w:val="22"/>
          <w:szCs w:val="22"/>
        </w:rPr>
        <w:t xml:space="preserve">                       </w:t>
      </w:r>
      <w:r>
        <w:rPr>
          <w:rFonts w:ascii="Times New Roman" w:hAnsi="Times New Roman"/>
          <w:sz w:val="22"/>
          <w:szCs w:val="22"/>
        </w:rPr>
        <w:t xml:space="preserve">      </w:t>
      </w:r>
      <w:r w:rsidR="00810D01">
        <w:rPr>
          <w:rFonts w:ascii="Times New Roman" w:hAnsi="Times New Roman"/>
          <w:sz w:val="22"/>
          <w:szCs w:val="22"/>
        </w:rPr>
        <w:t>Е.Н. Серяк</w:t>
      </w:r>
    </w:p>
    <w:p w:rsidR="003762B6" w:rsidRDefault="003762B6">
      <w:pPr>
        <w:rPr>
          <w:rFonts w:ascii="Times New Roman" w:hAnsi="Times New Roman"/>
          <w:sz w:val="22"/>
          <w:szCs w:val="22"/>
          <w:lang w:eastAsia="en-US"/>
        </w:rPr>
      </w:pPr>
    </w:p>
    <w:p w:rsidR="003762B6" w:rsidRDefault="003762B6">
      <w:pPr>
        <w:rPr>
          <w:rFonts w:ascii="Times New Roman" w:hAnsi="Times New Roman"/>
          <w:sz w:val="18"/>
          <w:szCs w:val="18"/>
          <w:lang w:eastAsia="en-US"/>
        </w:rPr>
      </w:pPr>
    </w:p>
    <w:p w:rsidR="003762B6" w:rsidRDefault="003762B6">
      <w:pPr>
        <w:rPr>
          <w:rFonts w:ascii="Times New Roman" w:hAnsi="Times New Roman"/>
          <w:sz w:val="18"/>
          <w:szCs w:val="18"/>
          <w:lang w:eastAsia="en-US"/>
        </w:rPr>
      </w:pPr>
    </w:p>
    <w:p w:rsidR="003762B6" w:rsidRDefault="003762B6">
      <w:pPr>
        <w:rPr>
          <w:rFonts w:ascii="Times New Roman" w:hAnsi="Times New Roman"/>
          <w:sz w:val="18"/>
          <w:szCs w:val="18"/>
          <w:lang w:eastAsia="en-US"/>
        </w:rPr>
      </w:pPr>
    </w:p>
    <w:p w:rsidR="003762B6" w:rsidRDefault="00460634">
      <w:pPr>
        <w:rPr>
          <w:rFonts w:ascii="Times New Roman" w:hAnsi="Times New Roman"/>
          <w:sz w:val="18"/>
          <w:szCs w:val="18"/>
          <w:lang w:eastAsia="en-US"/>
        </w:rPr>
      </w:pPr>
      <w:r>
        <w:rPr>
          <w:rFonts w:ascii="Times New Roman" w:hAnsi="Times New Roman"/>
          <w:bCs/>
          <w:sz w:val="18"/>
          <w:szCs w:val="18"/>
          <w:lang w:eastAsia="en-US"/>
        </w:rPr>
        <w:t xml:space="preserve">Исп. </w:t>
      </w:r>
      <w:r w:rsidR="00810D01">
        <w:rPr>
          <w:rFonts w:ascii="Times New Roman" w:hAnsi="Times New Roman"/>
          <w:bCs/>
          <w:sz w:val="18"/>
          <w:szCs w:val="18"/>
          <w:lang w:eastAsia="en-US"/>
        </w:rPr>
        <w:t>Баскакова И.Н.</w:t>
      </w:r>
    </w:p>
    <w:p w:rsidR="003762B6" w:rsidRDefault="00460634">
      <w:pPr>
        <w:rPr>
          <w:rFonts w:ascii="Times New Roman" w:hAnsi="Times New Roman"/>
          <w:bCs/>
          <w:sz w:val="18"/>
          <w:szCs w:val="18"/>
          <w:lang w:eastAsia="en-US"/>
        </w:rPr>
      </w:pPr>
      <w:r>
        <w:rPr>
          <w:rFonts w:ascii="Times New Roman" w:hAnsi="Times New Roman"/>
          <w:bCs/>
          <w:sz w:val="18"/>
          <w:szCs w:val="18"/>
          <w:lang w:eastAsia="en-US"/>
        </w:rPr>
        <w:t>8(49449)5-89-23</w:t>
      </w:r>
    </w:p>
    <w:sectPr w:rsidR="003762B6" w:rsidSect="003762B6">
      <w:headerReference w:type="even" r:id="rId13"/>
      <w:headerReference w:type="default" r:id="rId14"/>
      <w:pgSz w:w="11906" w:h="16838"/>
      <w:pgMar w:top="992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AF1" w:rsidRDefault="00914AF1">
      <w:r>
        <w:separator/>
      </w:r>
    </w:p>
  </w:endnote>
  <w:endnote w:type="continuationSeparator" w:id="1">
    <w:p w:rsidR="00914AF1" w:rsidRDefault="00914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ACT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AF1" w:rsidRDefault="00914AF1">
      <w:r>
        <w:separator/>
      </w:r>
    </w:p>
  </w:footnote>
  <w:footnote w:type="continuationSeparator" w:id="1">
    <w:p w:rsidR="00914AF1" w:rsidRDefault="00914A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2B6" w:rsidRDefault="003762B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2B6" w:rsidRDefault="00283D5C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460634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3762B6" w:rsidRDefault="003762B6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2B6" w:rsidRDefault="003762B6">
    <w:pPr>
      <w:pStyle w:val="af8"/>
      <w:framePr w:wrap="around" w:vAnchor="text" w:hAnchor="margin" w:xAlign="center" w:y="1"/>
      <w:rPr>
        <w:rStyle w:val="afa"/>
        <w:sz w:val="24"/>
      </w:rPr>
    </w:pPr>
  </w:p>
  <w:p w:rsidR="003762B6" w:rsidRDefault="003762B6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33353"/>
    <w:multiLevelType w:val="hybridMultilevel"/>
    <w:tmpl w:val="80189EB0"/>
    <w:lvl w:ilvl="0" w:tplc="71CE5A9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0AE3E8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0EA65C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46247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6CEAE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F7426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0E8FF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A8828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31633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556F57E8"/>
    <w:multiLevelType w:val="hybridMultilevel"/>
    <w:tmpl w:val="436879C2"/>
    <w:lvl w:ilvl="0" w:tplc="75548A4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5B42B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6507F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1E870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C7E676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6B8B2F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5C077C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25C40A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CD890F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7B4F4FC5"/>
    <w:multiLevelType w:val="hybridMultilevel"/>
    <w:tmpl w:val="58F2D408"/>
    <w:lvl w:ilvl="0" w:tplc="B4A21D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67AF086">
      <w:numFmt w:val="none"/>
      <w:lvlText w:val=""/>
      <w:lvlJc w:val="left"/>
      <w:pPr>
        <w:tabs>
          <w:tab w:val="num" w:pos="360"/>
        </w:tabs>
      </w:pPr>
    </w:lvl>
    <w:lvl w:ilvl="2" w:tplc="01EAA5A4">
      <w:numFmt w:val="none"/>
      <w:lvlText w:val=""/>
      <w:lvlJc w:val="left"/>
      <w:pPr>
        <w:tabs>
          <w:tab w:val="num" w:pos="360"/>
        </w:tabs>
      </w:pPr>
    </w:lvl>
    <w:lvl w:ilvl="3" w:tplc="F71A3342">
      <w:numFmt w:val="none"/>
      <w:lvlText w:val=""/>
      <w:lvlJc w:val="left"/>
      <w:pPr>
        <w:tabs>
          <w:tab w:val="num" w:pos="360"/>
        </w:tabs>
      </w:pPr>
    </w:lvl>
    <w:lvl w:ilvl="4" w:tplc="CF0C8756">
      <w:numFmt w:val="none"/>
      <w:lvlText w:val=""/>
      <w:lvlJc w:val="left"/>
      <w:pPr>
        <w:tabs>
          <w:tab w:val="num" w:pos="360"/>
        </w:tabs>
      </w:pPr>
    </w:lvl>
    <w:lvl w:ilvl="5" w:tplc="722C891A">
      <w:numFmt w:val="none"/>
      <w:lvlText w:val=""/>
      <w:lvlJc w:val="left"/>
      <w:pPr>
        <w:tabs>
          <w:tab w:val="num" w:pos="360"/>
        </w:tabs>
      </w:pPr>
    </w:lvl>
    <w:lvl w:ilvl="6" w:tplc="3AB0C5DA">
      <w:numFmt w:val="none"/>
      <w:lvlText w:val=""/>
      <w:lvlJc w:val="left"/>
      <w:pPr>
        <w:tabs>
          <w:tab w:val="num" w:pos="360"/>
        </w:tabs>
      </w:pPr>
    </w:lvl>
    <w:lvl w:ilvl="7" w:tplc="B7F81674">
      <w:numFmt w:val="none"/>
      <w:lvlText w:val=""/>
      <w:lvlJc w:val="left"/>
      <w:pPr>
        <w:tabs>
          <w:tab w:val="num" w:pos="360"/>
        </w:tabs>
      </w:pPr>
    </w:lvl>
    <w:lvl w:ilvl="8" w:tplc="9E30FE3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2B6"/>
    <w:rsid w:val="00283D5C"/>
    <w:rsid w:val="003762B6"/>
    <w:rsid w:val="00460634"/>
    <w:rsid w:val="00810D01"/>
    <w:rsid w:val="00914AF1"/>
    <w:rsid w:val="00EF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B6"/>
    <w:rPr>
      <w:rFonts w:ascii="Arial" w:hAnsi="Arial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3762B6"/>
    <w:pPr>
      <w:keepNext/>
      <w:jc w:val="center"/>
      <w:outlineLvl w:val="0"/>
    </w:pPr>
    <w:rPr>
      <w:rFonts w:ascii="AcademyACTT" w:hAnsi="AcademyACTT"/>
      <w:b/>
      <w:bCs/>
      <w:sz w:val="22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762B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762B6"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3762B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762B6"/>
    <w:pPr>
      <w:keepNext/>
      <w:keepLines/>
      <w:spacing w:before="360" w:after="200"/>
      <w:outlineLvl w:val="1"/>
    </w:pPr>
    <w:rPr>
      <w:rFonts w:eastAsia="Arial" w:cs="Arial"/>
      <w:sz w:val="34"/>
    </w:rPr>
  </w:style>
  <w:style w:type="character" w:customStyle="1" w:styleId="Heading2Char">
    <w:name w:val="Heading 2 Char"/>
    <w:link w:val="Heading2"/>
    <w:uiPriority w:val="9"/>
    <w:rsid w:val="003762B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762B6"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3762B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762B6"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3762B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762B6"/>
    <w:pPr>
      <w:keepNext/>
      <w:keepLines/>
      <w:spacing w:before="320" w:after="200"/>
      <w:outlineLvl w:val="4"/>
    </w:pPr>
    <w:rPr>
      <w:rFonts w:eastAsia="Arial" w:cs="Arial"/>
      <w:b/>
      <w:bCs/>
      <w:szCs w:val="24"/>
    </w:rPr>
  </w:style>
  <w:style w:type="character" w:customStyle="1" w:styleId="Heading5Char">
    <w:name w:val="Heading 5 Char"/>
    <w:link w:val="Heading5"/>
    <w:uiPriority w:val="9"/>
    <w:rsid w:val="003762B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762B6"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3762B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762B6"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3762B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762B6"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3762B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762B6"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3762B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762B6"/>
    <w:pPr>
      <w:ind w:left="720"/>
      <w:contextualSpacing/>
    </w:pPr>
  </w:style>
  <w:style w:type="paragraph" w:styleId="a4">
    <w:name w:val="No Spacing"/>
    <w:uiPriority w:val="1"/>
    <w:qFormat/>
    <w:rsid w:val="003762B6"/>
  </w:style>
  <w:style w:type="paragraph" w:styleId="a5">
    <w:name w:val="Title"/>
    <w:basedOn w:val="a"/>
    <w:next w:val="a"/>
    <w:link w:val="a6"/>
    <w:uiPriority w:val="10"/>
    <w:qFormat/>
    <w:rsid w:val="003762B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3762B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762B6"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sid w:val="003762B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762B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762B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762B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762B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762B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3762B6"/>
  </w:style>
  <w:style w:type="paragraph" w:customStyle="1" w:styleId="Footer">
    <w:name w:val="Footer"/>
    <w:basedOn w:val="a"/>
    <w:link w:val="CaptionChar"/>
    <w:uiPriority w:val="99"/>
    <w:unhideWhenUsed/>
    <w:rsid w:val="003762B6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3762B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762B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762B6"/>
  </w:style>
  <w:style w:type="table" w:styleId="ab">
    <w:name w:val="Table Grid"/>
    <w:uiPriority w:val="59"/>
    <w:rsid w:val="003762B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762B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762B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3762B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3762B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762B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762B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762B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762B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762B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762B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762B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762B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3762B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762B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3762B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762B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762B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762B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762B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762B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762B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762B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762B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762B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762B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762B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762B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762B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3762B6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762B6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3762B6"/>
    <w:rPr>
      <w:sz w:val="18"/>
    </w:rPr>
  </w:style>
  <w:style w:type="character" w:styleId="af">
    <w:name w:val="footnote reference"/>
    <w:uiPriority w:val="99"/>
    <w:unhideWhenUsed/>
    <w:rsid w:val="003762B6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762B6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762B6"/>
    <w:rPr>
      <w:sz w:val="20"/>
    </w:rPr>
  </w:style>
  <w:style w:type="character" w:styleId="af2">
    <w:name w:val="endnote reference"/>
    <w:uiPriority w:val="99"/>
    <w:semiHidden/>
    <w:unhideWhenUsed/>
    <w:rsid w:val="003762B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762B6"/>
    <w:pPr>
      <w:spacing w:after="57"/>
    </w:pPr>
  </w:style>
  <w:style w:type="paragraph" w:styleId="21">
    <w:name w:val="toc 2"/>
    <w:basedOn w:val="a"/>
    <w:next w:val="a"/>
    <w:uiPriority w:val="39"/>
    <w:unhideWhenUsed/>
    <w:rsid w:val="003762B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762B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762B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762B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762B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762B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762B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762B6"/>
    <w:pPr>
      <w:spacing w:after="57"/>
      <w:ind w:left="2268"/>
    </w:pPr>
  </w:style>
  <w:style w:type="paragraph" w:styleId="af3">
    <w:name w:val="TOC Heading"/>
    <w:uiPriority w:val="39"/>
    <w:unhideWhenUsed/>
    <w:rsid w:val="003762B6"/>
  </w:style>
  <w:style w:type="paragraph" w:styleId="af4">
    <w:name w:val="table of figures"/>
    <w:basedOn w:val="a"/>
    <w:next w:val="a"/>
    <w:uiPriority w:val="99"/>
    <w:unhideWhenUsed/>
    <w:rsid w:val="003762B6"/>
  </w:style>
  <w:style w:type="paragraph" w:customStyle="1" w:styleId="ConsPlusNormal">
    <w:name w:val="ConsPlusNormal"/>
    <w:link w:val="ConsPlusNormal0"/>
    <w:rsid w:val="003762B6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12">
    <w:name w:val="Знак1"/>
    <w:basedOn w:val="a"/>
    <w:rsid w:val="003762B6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f5">
    <w:name w:val="Body Text"/>
    <w:basedOn w:val="a"/>
    <w:rsid w:val="003762B6"/>
    <w:pPr>
      <w:jc w:val="both"/>
    </w:pPr>
    <w:rPr>
      <w:rFonts w:ascii="Times New Roman" w:hAnsi="Times New Roman"/>
      <w:sz w:val="28"/>
      <w:lang w:eastAsia="ar-SA"/>
    </w:rPr>
  </w:style>
  <w:style w:type="paragraph" w:customStyle="1" w:styleId="210">
    <w:name w:val="Основной текст 21"/>
    <w:basedOn w:val="a"/>
    <w:rsid w:val="003762B6"/>
    <w:pPr>
      <w:ind w:right="-908"/>
      <w:jc w:val="both"/>
    </w:pPr>
    <w:rPr>
      <w:rFonts w:ascii="Times New Roman" w:hAnsi="Times New Roman"/>
      <w:lang w:eastAsia="ar-SA"/>
    </w:rPr>
  </w:style>
  <w:style w:type="paragraph" w:customStyle="1" w:styleId="310">
    <w:name w:val="Основной текст 31"/>
    <w:basedOn w:val="a"/>
    <w:rsid w:val="003762B6"/>
    <w:pPr>
      <w:ind w:right="-1050"/>
      <w:jc w:val="both"/>
    </w:pPr>
    <w:rPr>
      <w:rFonts w:ascii="Times New Roman" w:hAnsi="Times New Roman"/>
      <w:lang w:eastAsia="ar-SA"/>
    </w:rPr>
  </w:style>
  <w:style w:type="character" w:customStyle="1" w:styleId="30">
    <w:name w:val="Заголовок 3 Знак"/>
    <w:link w:val="3"/>
    <w:semiHidden/>
    <w:rsid w:val="003762B6"/>
    <w:rPr>
      <w:rFonts w:ascii="Cambria" w:eastAsia="Times New Roman" w:hAnsi="Cambria" w:cs="Times New Roman"/>
      <w:b/>
      <w:bCs/>
      <w:sz w:val="26"/>
      <w:szCs w:val="26"/>
    </w:rPr>
  </w:style>
  <w:style w:type="paragraph" w:styleId="af6">
    <w:name w:val="Balloon Text"/>
    <w:basedOn w:val="a"/>
    <w:link w:val="af7"/>
    <w:rsid w:val="003762B6"/>
    <w:rPr>
      <w:rFonts w:ascii="Tahoma" w:hAnsi="Tahoma"/>
      <w:sz w:val="16"/>
      <w:szCs w:val="16"/>
      <w:lang w:val="en-US" w:eastAsia="en-US"/>
    </w:rPr>
  </w:style>
  <w:style w:type="character" w:customStyle="1" w:styleId="af7">
    <w:name w:val="Текст выноски Знак"/>
    <w:link w:val="af6"/>
    <w:rsid w:val="003762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762B6"/>
    <w:rPr>
      <w:rFonts w:ascii="AcademyACTT" w:hAnsi="AcademyACTT"/>
      <w:b/>
      <w:bCs/>
      <w:sz w:val="22"/>
    </w:rPr>
  </w:style>
  <w:style w:type="character" w:customStyle="1" w:styleId="ConsPlusNormal0">
    <w:name w:val="ConsPlusNormal Знак"/>
    <w:link w:val="ConsPlusNormal"/>
    <w:rsid w:val="003762B6"/>
    <w:rPr>
      <w:rFonts w:ascii="Arial" w:hAnsi="Arial" w:cs="Arial"/>
      <w:lang w:val="ru-RU" w:eastAsia="ru-RU" w:bidi="ar-SA"/>
    </w:rPr>
  </w:style>
  <w:style w:type="paragraph" w:customStyle="1" w:styleId="western">
    <w:name w:val="western"/>
    <w:basedOn w:val="a"/>
    <w:rsid w:val="003762B6"/>
    <w:pPr>
      <w:spacing w:before="100" w:beforeAutospacing="1" w:after="100" w:afterAutospacing="1"/>
      <w:jc w:val="both"/>
    </w:pPr>
    <w:rPr>
      <w:rFonts w:ascii="Times New Roman" w:hAnsi="Times New Roman"/>
      <w:szCs w:val="24"/>
    </w:rPr>
  </w:style>
  <w:style w:type="paragraph" w:styleId="af8">
    <w:name w:val="header"/>
    <w:basedOn w:val="a"/>
    <w:link w:val="af9"/>
    <w:rsid w:val="003762B6"/>
    <w:pPr>
      <w:tabs>
        <w:tab w:val="center" w:pos="4677"/>
        <w:tab w:val="right" w:pos="9355"/>
      </w:tabs>
      <w:ind w:firstLine="720"/>
      <w:jc w:val="both"/>
    </w:pPr>
    <w:rPr>
      <w:rFonts w:ascii="Times New Roman" w:hAnsi="Times New Roman"/>
      <w:sz w:val="28"/>
    </w:rPr>
  </w:style>
  <w:style w:type="character" w:customStyle="1" w:styleId="af9">
    <w:name w:val="Верхний колонтитул Знак"/>
    <w:basedOn w:val="a0"/>
    <w:link w:val="af8"/>
    <w:rsid w:val="003762B6"/>
    <w:rPr>
      <w:sz w:val="28"/>
    </w:rPr>
  </w:style>
  <w:style w:type="character" w:styleId="afa">
    <w:name w:val="page number"/>
    <w:basedOn w:val="a0"/>
    <w:rsid w:val="003762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consultant.ru/document/cons_doc_LAW_436375/08b3ecbcdc9a360ad1dc314150a6328886703356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ultant.ru/document/cons_doc_LAW_436375/7705ea248eb2ec0cf267513902ed8f43cc104c97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tp.sberbank-ast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1935</Words>
  <Characters>11035</Characters>
  <Application>Microsoft Office Word</Application>
  <DocSecurity>0</DocSecurity>
  <Lines>91</Lines>
  <Paragraphs>25</Paragraphs>
  <ScaleCrop>false</ScaleCrop>
  <Company>OEM</Company>
  <LinksUpToDate>false</LinksUpToDate>
  <CharactersWithSpaces>12945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Баскакова</cp:lastModifiedBy>
  <cp:revision>2</cp:revision>
  <dcterms:created xsi:type="dcterms:W3CDTF">2024-06-24T11:28:00Z</dcterms:created>
  <dcterms:modified xsi:type="dcterms:W3CDTF">2024-06-24T11:28:00Z</dcterms:modified>
  <cp:version>786432</cp:version>
</cp:coreProperties>
</file>